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Приложение №2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Статистика по </w:t>
      </w:r>
      <w:r>
        <w:rPr>
          <w:rFonts w:ascii="Times New Roman" w:hAnsi="Times New Roman"/>
          <w:sz w:val="28"/>
        </w:rPr>
        <w:t>заявлени</w:t>
      </w:r>
      <w:r>
        <w:rPr>
          <w:rFonts w:ascii="Times New Roman" w:hAnsi="Times New Roman"/>
          <w:sz w:val="28"/>
        </w:rPr>
        <w:t xml:space="preserve">ям граждан, 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направленным</w:t>
      </w:r>
      <w:r>
        <w:rPr>
          <w:rFonts w:ascii="Times New Roman" w:hAnsi="Times New Roman"/>
          <w:sz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ФНС России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за период </w:t>
      </w:r>
      <w:r>
        <w:rPr>
          <w:rFonts w:ascii="Times New Roman" w:hAnsi="Times New Roman"/>
          <w:color w:val="000000"/>
          <w:sz w:val="28"/>
        </w:rPr>
        <w:t>01.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.202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по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7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.202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года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</w:tblPr>
      <w:tblGrid>
        <w:gridCol w:w="392"/>
        <w:gridCol w:w="1417"/>
        <w:gridCol w:w="567"/>
        <w:gridCol w:w="1276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418"/>
        <w:gridCol w:w="1134"/>
        <w:gridCol w:w="664"/>
      </w:tblGrid>
      <w:tr>
        <w:trPr>
          <w:trHeight w:hRule="atLeast" w:val="393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09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0A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тер</w:t>
            </w:r>
            <w:r>
              <w:rPr>
                <w:rFonts w:ascii="Times New Roman" w:hAnsi="Times New Roman"/>
                <w:color w:val="000000"/>
              </w:rPr>
              <w:t>риториального налогового органа</w:t>
            </w:r>
          </w:p>
          <w:p w14:paraId="0B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из </w:t>
            </w:r>
            <w:r>
              <w:rPr>
                <w:rFonts w:ascii="Times New Roman" w:hAnsi="Times New Roman"/>
                <w:color w:val="000000"/>
              </w:rPr>
              <w:t>которого</w:t>
            </w:r>
            <w:r>
              <w:rPr>
                <w:rFonts w:ascii="Times New Roman" w:hAnsi="Times New Roman"/>
                <w:color w:val="000000"/>
              </w:rPr>
              <w:t xml:space="preserve"> поступило обращение</w:t>
            </w:r>
          </w:p>
        </w:tc>
        <w:tc>
          <w:tcPr>
            <w:tcW w:type="dxa" w:w="13280"/>
            <w:gridSpan w:val="1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обращений</w:t>
            </w:r>
          </w:p>
        </w:tc>
      </w:tr>
      <w:tr>
        <w:trPr>
          <w:trHeight w:hRule="atLeast" w:val="397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567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0D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</w:p>
        </w:tc>
        <w:tc>
          <w:tcPr>
            <w:tcW w:type="dxa" w:w="12713"/>
            <w:gridSpan w:val="1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том числе по тематике вопроса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 w:hAnsi="Times New Roman"/>
                <w:color w:val="000000"/>
                <w:sz w:val="20"/>
              </w:rPr>
              <w:t>тематическим классификатором обращений</w:t>
            </w:r>
          </w:p>
        </w:tc>
      </w:tr>
      <w:tr>
        <w:trPr>
          <w:trHeight w:hRule="atLeast" w:val="3887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0F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0003.0008.0086.1198 </w:t>
            </w:r>
          </w:p>
          <w:p w14:paraId="10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type="dxa" w:w="7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11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0003.0008.0086.0540</w:t>
            </w:r>
          </w:p>
          <w:p w14:paraId="12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Земельный налог</w:t>
            </w:r>
          </w:p>
        </w:tc>
        <w:tc>
          <w:tcPr>
            <w:tcW w:type="dxa" w:w="709"/>
            <w:tcBorders>
              <w:left w:sz="4" w:val="nil"/>
              <w:bottom w:color="000000" w:sz="4" w:val="single"/>
              <w:right w:color="000000" w:sz="4" w:val="single"/>
            </w:tcBorders>
            <w:shd w:fill="auto" w:val="clear"/>
            <w:textDirection w:val="btLr"/>
            <w:vAlign w:val="center"/>
          </w:tcPr>
          <w:p w14:paraId="13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0003.0008.0086.0543 </w:t>
            </w:r>
          </w:p>
          <w:p w14:paraId="14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Транспортный налог</w:t>
            </w:r>
          </w:p>
        </w:tc>
        <w:tc>
          <w:tcPr>
            <w:tcW w:type="dxa" w:w="709"/>
            <w:tcBorders>
              <w:left w:sz="4" w:val="nil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15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0003.0008.0086.0544 </w:t>
            </w:r>
          </w:p>
          <w:p w14:paraId="16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Налог на имущество</w:t>
            </w:r>
          </w:p>
        </w:tc>
        <w:tc>
          <w:tcPr>
            <w:tcW w:type="dxa" w:w="709"/>
            <w:tcBorders>
              <w:left w:sz="4" w:val="nil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17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0003.0008.0086.0545</w:t>
            </w:r>
          </w:p>
          <w:p w14:paraId="18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Налог на доходы физических лиц</w:t>
            </w:r>
          </w:p>
        </w:tc>
        <w:tc>
          <w:tcPr>
            <w:tcW w:type="dxa" w:w="992"/>
            <w:tcBorders>
              <w:left w:sz="4" w:val="nil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19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276"/>
            <w:tcBorders>
              <w:left w:sz="4" w:val="nil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1A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0003.0008.0086.0558 </w:t>
            </w:r>
          </w:p>
          <w:p w14:paraId="1B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850"/>
            <w:tcBorders>
              <w:left w:sz="4" w:val="nil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1C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0003.0008.0086.0560 </w:t>
            </w:r>
          </w:p>
          <w:p w14:paraId="1D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Уклонение от налогообложения</w:t>
            </w:r>
          </w:p>
        </w:tc>
        <w:tc>
          <w:tcPr>
            <w:tcW w:type="dxa" w:w="1276"/>
            <w:tcBorders>
              <w:left w:sz="4" w:val="nil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1E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0003.0008.0086.0557 </w:t>
            </w:r>
          </w:p>
          <w:p w14:paraId="1F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992"/>
            <w:tcBorders>
              <w:left w:sz="4" w:val="nil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20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0003.0008.0086.0552</w:t>
            </w:r>
          </w:p>
          <w:p w14:paraId="21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Организация работы с налогоплательщиками</w:t>
            </w:r>
          </w:p>
        </w:tc>
        <w:tc>
          <w:tcPr>
            <w:tcW w:type="dxa" w:w="1418"/>
            <w:tcBorders>
              <w:left w:sz="4" w:val="nil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22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0003.0008.0086.0565</w:t>
            </w:r>
          </w:p>
          <w:p w14:paraId="23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 Регистрация юридических лиц, физических лиц в качестве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type="dxa" w:w="1134"/>
            <w:tcBorders>
              <w:left w:sz="4" w:val="nil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24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0003.0008.0086.0562</w:t>
            </w:r>
          </w:p>
          <w:p w14:paraId="25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type="dxa" w:w="664"/>
            <w:tcBorders>
              <w:left w:sz="4" w:val="nil"/>
              <w:bottom w:color="000000" w:sz="4" w:val="single"/>
              <w:right w:color="000000" w:sz="4" w:val="single"/>
            </w:tcBorders>
            <w:textDirection w:val="btLr"/>
          </w:tcPr>
          <w:p w14:paraId="26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другим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вопросам</w:t>
            </w:r>
          </w:p>
        </w:tc>
      </w:tr>
      <w:tr>
        <w:trPr>
          <w:trHeight w:hRule="atLeast" w:val="6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50 Московская область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 (50,00%)</w:t>
            </w:r>
          </w:p>
        </w:tc>
        <w:tc>
          <w:tcPr>
            <w:tcW w:type="dxa" w:w="7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66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 (50,00%)</w:t>
            </w:r>
          </w:p>
        </w:tc>
      </w:tr>
      <w:tr>
        <w:trPr>
          <w:trHeight w:hRule="atLeast" w:val="6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63 Самарская область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 (4,55%)</w:t>
            </w:r>
          </w:p>
        </w:tc>
        <w:tc>
          <w:tcPr>
            <w:tcW w:type="dxa" w:w="7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 (0,85%)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 (2,27%)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 (4,83%)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60 (17,05%)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 (3,98%)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 (6,25%)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39 (11,08%)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 (7,67%)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16 (4,55%)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 (2,27%)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 (1,14%)</w:t>
            </w:r>
          </w:p>
        </w:tc>
        <w:tc>
          <w:tcPr>
            <w:tcW w:type="dxa" w:w="66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118 (33,52%)</w:t>
            </w:r>
          </w:p>
        </w:tc>
      </w:tr>
      <w:tr>
        <w:trPr>
          <w:trHeight w:hRule="atLeast" w:val="6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64 Саратовская область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66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 (100,00%)</w:t>
            </w:r>
          </w:p>
        </w:tc>
      </w:tr>
      <w:tr>
        <w:trPr>
          <w:trHeight w:hRule="atLeast" w:val="6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73 Ульяновская область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66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 (100,00%)</w:t>
            </w:r>
          </w:p>
        </w:tc>
      </w:tr>
      <w:tr>
        <w:trPr>
          <w:trHeight w:hRule="atLeast" w:val="6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77 г. Москва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 (100,00%)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66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Приволжский федеральный округ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 (16,67%)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 (33,33%)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66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 (50,00%)</w:t>
            </w:r>
          </w:p>
        </w:tc>
      </w:tr>
      <w:tr>
        <w:trPr>
          <w:trHeight w:hRule="atLeast" w:val="6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\Без адреса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 (100,00%)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66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19"/>
              </w:rPr>
            </w:pPr>
            <w:r>
              <w:rPr>
                <w:rFonts w:ascii="Times New Roman" w:hAnsi="Times New Roman"/>
                <w:b w:val="1"/>
                <w:color w:val="000000"/>
                <w:sz w:val="19"/>
              </w:rPr>
              <w:t>ИТОГО:</w:t>
            </w:r>
          </w:p>
        </w:tc>
        <w:tc>
          <w:tcPr>
            <w:tcW w:type="dxa" w:w="56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366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17</w:t>
            </w:r>
          </w:p>
        </w:tc>
        <w:tc>
          <w:tcPr>
            <w:tcW w:type="dxa" w:w="70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17</w:t>
            </w:r>
          </w:p>
        </w:tc>
        <w:tc>
          <w:tcPr>
            <w:tcW w:type="dxa" w:w="70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62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14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24</w:t>
            </w:r>
          </w:p>
        </w:tc>
        <w:tc>
          <w:tcPr>
            <w:tcW w:type="dxa" w:w="85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42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27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16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4</w:t>
            </w:r>
          </w:p>
        </w:tc>
        <w:tc>
          <w:tcPr>
            <w:tcW w:type="dxa" w:w="66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color w:val="00000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124</w:t>
            </w:r>
          </w:p>
        </w:tc>
      </w:tr>
    </w:tbl>
    <w:p w14:paraId="A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18"/>
        </w:rPr>
      </w:pPr>
    </w:p>
    <w:sectPr>
      <w:headerReference r:id="rId2" w:type="default"/>
      <w:headerReference r:id="rId1" w:type="even"/>
      <w:pgSz w:h="11906" w:w="16838"/>
      <w:pgMar w:bottom="1134" w:footer="709" w:gutter="0" w:header="709" w:left="1134" w:right="1134" w:top="1134"/>
      <w:pgNumType w:start="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tabs>
        <w:tab w:leader="none" w:pos="4677" w:val="clear"/>
        <w:tab w:leader="none" w:pos="7088" w:val="left"/>
        <w:tab w:leader="none" w:pos="9355" w:val="clear"/>
      </w:tabs>
      <w:ind/>
    </w:pPr>
    <w:r>
      <w:tab/>
    </w:r>
    <w:r>
      <w:t>9</w:t>
    </w: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ind/>
      <w:jc w:val="center"/>
    </w:pPr>
    <w:r>
      <w:t>8</w:t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evenAndOddHeaders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Balloon Text"/>
    <w:basedOn w:val="Style_3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3_ch"/>
    <w:link w:val="Style_9"/>
    <w:rPr>
      <w:rFonts w:ascii="Segoe UI" w:hAnsi="Segoe UI"/>
      <w:sz w:val="1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3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2021-09-01T09:59:10Z</dcterms:modified>
</cp:coreProperties>
</file>